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8A30C" w14:textId="3ECC3C1F" w:rsidR="002D305D" w:rsidRPr="005A3A95" w:rsidRDefault="002D305D" w:rsidP="00D07C98">
      <w:pPr>
        <w:snapToGrid w:val="0"/>
        <w:rPr>
          <w:rFonts w:ascii="Times New Roman" w:eastAsia="新細明體" w:hAnsi="Times New Roman" w:cs="Times New Roman"/>
          <w:b/>
          <w:bCs/>
        </w:rPr>
      </w:pPr>
      <w:bookmarkStart w:id="0" w:name="_GoBack"/>
      <w:bookmarkEnd w:id="0"/>
      <w:r w:rsidRPr="005A3A95">
        <w:rPr>
          <w:rFonts w:ascii="Times New Roman" w:eastAsia="新細明體" w:hAnsi="Times New Roman" w:cs="Times New Roman"/>
          <w:b/>
          <w:bCs/>
        </w:rPr>
        <w:t>監督國是會議的學生哪裡去了！</w:t>
      </w:r>
    </w:p>
    <w:p w14:paraId="3C2B4495" w14:textId="1C86B12F" w:rsidR="002D305D" w:rsidRPr="005A3A95" w:rsidRDefault="002D305D" w:rsidP="00D07C98">
      <w:pPr>
        <w:snapToGrid w:val="0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學運與國是會議</w:t>
      </w:r>
    </w:p>
    <w:p w14:paraId="114C85F5" w14:textId="744CA384" w:rsidR="00D07C98" w:rsidRPr="005A3A95" w:rsidRDefault="00D07C98" w:rsidP="00D07C98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在國是會議召開之際，總統及主辦單位竟對三月學運學生促成之功隻字未提，令人不解，更</w:t>
      </w:r>
      <w:r w:rsidR="003C749A" w:rsidRPr="005A3A95">
        <w:rPr>
          <w:rFonts w:ascii="Times New Roman" w:eastAsia="新細明體" w:hAnsi="Times New Roman" w:cs="Times New Roman"/>
        </w:rPr>
        <w:t>叫</w:t>
      </w:r>
      <w:r w:rsidRPr="005A3A95">
        <w:rPr>
          <w:rFonts w:ascii="Times New Roman" w:eastAsia="新細明體" w:hAnsi="Times New Roman" w:cs="Times New Roman"/>
        </w:rPr>
        <w:t>人失望。無論如何，總統決定召開國是會議，與三月參與學運的學生們的要求有直接的關聯，至少，是在總統當面答應開好國是會議的承諾下，學生們最後決定暫時結束靜坐，撤離廣場，然而，國是會議自籌備時，就未能尊重學生，籌備會舉辦的國是會議座談，</w:t>
      </w:r>
      <w:proofErr w:type="gramStart"/>
      <w:r w:rsidRPr="005A3A95">
        <w:rPr>
          <w:rFonts w:ascii="Times New Roman" w:eastAsia="新細明體" w:hAnsi="Times New Roman" w:cs="Times New Roman"/>
        </w:rPr>
        <w:t>幾乎均非由</w:t>
      </w:r>
      <w:proofErr w:type="gramEnd"/>
      <w:r w:rsidRPr="005A3A95">
        <w:rPr>
          <w:rFonts w:ascii="Times New Roman" w:eastAsia="新細明體" w:hAnsi="Times New Roman" w:cs="Times New Roman"/>
        </w:rPr>
        <w:t>廣場靜坐的學生參加。而全學聯也，直對國是會議有相當負面的評價和批評。全學聯</w:t>
      </w:r>
      <w:r w:rsidR="00EE120E" w:rsidRPr="005A3A95">
        <w:rPr>
          <w:rFonts w:ascii="Times New Roman" w:eastAsia="新細明體" w:hAnsi="Times New Roman" w:cs="Times New Roman"/>
        </w:rPr>
        <w:t>對</w:t>
      </w:r>
      <w:r w:rsidRPr="005A3A95">
        <w:rPr>
          <w:rFonts w:ascii="Times New Roman" w:eastAsia="新細明體" w:hAnsi="Times New Roman" w:cs="Times New Roman"/>
        </w:rPr>
        <w:t>最後遴選一位博士班學生參加國是會議，也相當不滿。</w:t>
      </w:r>
    </w:p>
    <w:p w14:paraId="69894ED8" w14:textId="117BFE84" w:rsidR="00D07C98" w:rsidRPr="005A3A95" w:rsidRDefault="00D07C98" w:rsidP="00D07C98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中央研究院社會意</w:t>
      </w:r>
      <w:r w:rsidR="00C017BD" w:rsidRPr="005A3A95">
        <w:rPr>
          <w:rFonts w:ascii="Times New Roman" w:eastAsia="新細明體" w:hAnsi="Times New Roman" w:cs="Times New Roman"/>
        </w:rPr>
        <w:t>向</w:t>
      </w:r>
      <w:r w:rsidRPr="005A3A95">
        <w:rPr>
          <w:rFonts w:ascii="Times New Roman" w:eastAsia="新細明體" w:hAnsi="Times New Roman" w:cs="Times New Roman"/>
        </w:rPr>
        <w:t>調查小組在第二次之調查中，對三月學運詢問了民眾的看法與態度。根據約一千五百人</w:t>
      </w:r>
      <w:r w:rsidR="00A13246" w:rsidRPr="005A3A95">
        <w:rPr>
          <w:rFonts w:ascii="Times New Roman" w:eastAsia="新細明體" w:hAnsi="Times New Roman" w:cs="Times New Roman"/>
        </w:rPr>
        <w:t>分佈全省的受訪者所顯示出來的對三月學運的態度，基本上是複雜而又多少有點矛盾的，簡言之，一方面支持或肯定學運，另一方面卻又基於安定的需求及長期政治社會化的影響，又對學運有相當深的疑慮。</w:t>
      </w:r>
    </w:p>
    <w:p w14:paraId="5B730D7A" w14:textId="2CC2BC57" w:rsidR="00A13246" w:rsidRPr="005A3A95" w:rsidRDefault="00A13246" w:rsidP="00A13246">
      <w:pPr>
        <w:pStyle w:val="a7"/>
        <w:numPr>
          <w:ilvl w:val="0"/>
          <w:numId w:val="1"/>
        </w:numPr>
        <w:snapToGrid w:val="0"/>
        <w:ind w:leftChars="0" w:left="567" w:hanging="567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對學運的認知</w:t>
      </w:r>
    </w:p>
    <w:p w14:paraId="2FAB8BBA" w14:textId="1160A17A" w:rsidR="00A13246" w:rsidRPr="005A3A95" w:rsidRDefault="00A13246" w:rsidP="002D305D">
      <w:pPr>
        <w:snapToGrid w:val="0"/>
        <w:ind w:firstLineChars="100" w:firstLine="240"/>
        <w:rPr>
          <w:rFonts w:ascii="Times New Roman" w:eastAsia="新細明體" w:hAnsi="Times New Roman" w:cs="Times New Roman"/>
          <w:smallCaps/>
        </w:rPr>
      </w:pPr>
      <w:r w:rsidRPr="005A3A95">
        <w:rPr>
          <w:rFonts w:ascii="Times New Roman" w:eastAsia="新細明體" w:hAnsi="Times New Roman" w:cs="Times New Roman"/>
        </w:rPr>
        <w:t>就對學運的認知而言，三月學運確實是廣為周知的重大事件。有八成</w:t>
      </w:r>
      <w:r w:rsidR="00CC7CFE" w:rsidRPr="005A3A95">
        <w:rPr>
          <w:rFonts w:ascii="Times New Roman" w:eastAsia="新細明體" w:hAnsi="Times New Roman" w:cs="Times New Roman"/>
        </w:rPr>
        <w:t>三</w:t>
      </w:r>
      <w:r w:rsidRPr="005A3A95">
        <w:rPr>
          <w:rFonts w:ascii="Times New Roman" w:eastAsia="新細明體" w:hAnsi="Times New Roman" w:cs="Times New Roman"/>
        </w:rPr>
        <w:t>的民眾自承知道學生三月靜坐的事。其次，又有七成的民眾認定</w:t>
      </w:r>
      <w:r w:rsidR="002D305D" w:rsidRPr="005A3A95">
        <w:rPr>
          <w:rFonts w:ascii="Times New Roman" w:eastAsia="新細明體" w:hAnsi="Times New Roman" w:cs="Times New Roman"/>
        </w:rPr>
        <w:t>「政治不合理」是大學生靜坐的原因。學運</w:t>
      </w:r>
      <w:proofErr w:type="gramStart"/>
      <w:r w:rsidR="002D305D" w:rsidRPr="005A3A95">
        <w:rPr>
          <w:rFonts w:ascii="Times New Roman" w:eastAsia="新細明體" w:hAnsi="Times New Roman" w:cs="Times New Roman"/>
        </w:rPr>
        <w:t>期間，</w:t>
      </w:r>
      <w:proofErr w:type="gramEnd"/>
      <w:r w:rsidR="002D305D" w:rsidRPr="005A3A95">
        <w:rPr>
          <w:rFonts w:ascii="Times New Roman" w:eastAsia="新細明體" w:hAnsi="Times New Roman" w:cs="Times New Roman"/>
        </w:rPr>
        <w:t>傳播媒體，尤其是報紙對學運的報導是那一週報導與評論的重心。在學運後，有關學運的報導與討論也是持續了一段時間。因此，在認知上，知道的民眾</w:t>
      </w:r>
      <w:proofErr w:type="gramStart"/>
      <w:r w:rsidR="002D305D" w:rsidRPr="005A3A95">
        <w:rPr>
          <w:rFonts w:ascii="Times New Roman" w:eastAsia="新細明體" w:hAnsi="Times New Roman" w:cs="Times New Roman"/>
        </w:rPr>
        <w:t>佔</w:t>
      </w:r>
      <w:proofErr w:type="gramEnd"/>
      <w:r w:rsidR="002D305D" w:rsidRPr="005A3A95">
        <w:rPr>
          <w:rFonts w:ascii="Times New Roman" w:eastAsia="新細明體" w:hAnsi="Times New Roman" w:cs="Times New Roman"/>
        </w:rPr>
        <w:t>的是絕大多數，不過，教育、階級認同、和年齡對這兩項認知有顯著的影響。其間差距不小，如教育程度最低的在認知上自稱知道者有百分之六十一，而最高教育程度卻為百分之九十七，中上及上層階段有百分之九十九，而下層階級則降為百分之六十二。</w:t>
      </w:r>
    </w:p>
    <w:p w14:paraId="547F2531" w14:textId="5AE7B9A0" w:rsidR="00A13246" w:rsidRPr="005A3A95" w:rsidRDefault="002D305D" w:rsidP="00A13246">
      <w:pPr>
        <w:pStyle w:val="a7"/>
        <w:numPr>
          <w:ilvl w:val="0"/>
          <w:numId w:val="1"/>
        </w:numPr>
        <w:snapToGrid w:val="0"/>
        <w:ind w:leftChars="0" w:left="567" w:hanging="567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對學運得態度</w:t>
      </w:r>
    </w:p>
    <w:p w14:paraId="30569993" w14:textId="01C527E5" w:rsidR="002D305D" w:rsidRPr="005A3A95" w:rsidRDefault="002D305D" w:rsidP="002D305D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民眾對學運的態度大體上是支持的，但部分民眾還是有些疑慮。有超過四成的民眾認為媒體批評參加靜坐的學生是「不公平」的，而有近兩成的認為公平。媒體，尤其是電視和黨、軍營報社有強烈的壟斷性，學生屬於弱勢，但主要是民眾可參閱其他報刊，而</w:t>
      </w:r>
      <w:r w:rsidR="00AC1AA3" w:rsidRPr="005A3A95">
        <w:rPr>
          <w:rFonts w:ascii="Times New Roman" w:eastAsia="新細明體" w:hAnsi="Times New Roman" w:cs="Times New Roman"/>
        </w:rPr>
        <w:t>自</w:t>
      </w:r>
      <w:r w:rsidRPr="005A3A95">
        <w:rPr>
          <w:rFonts w:ascii="Times New Roman" w:eastAsia="新細明體" w:hAnsi="Times New Roman" w:cs="Times New Roman"/>
        </w:rPr>
        <w:t>有其獨立的意見，教育程度越高越是如此。其次，民眾大多數並不認為學生靜坐是受人利用，有三成否定，近三成表示很難說，約兩成肯定。這兩成人中多認為是民進黨或其他不滿政府的人利用學生。最後，在原則上對以靜坐抗議方式要求政府，民眾支持與</w:t>
      </w:r>
      <w:proofErr w:type="gramStart"/>
      <w:r w:rsidRPr="005A3A95">
        <w:rPr>
          <w:rFonts w:ascii="Times New Roman" w:eastAsia="新細明體" w:hAnsi="Times New Roman" w:cs="Times New Roman"/>
        </w:rPr>
        <w:t>不</w:t>
      </w:r>
      <w:proofErr w:type="gramEnd"/>
      <w:r w:rsidRPr="005A3A95">
        <w:rPr>
          <w:rFonts w:ascii="Times New Roman" w:eastAsia="新細明體" w:hAnsi="Times New Roman" w:cs="Times New Roman"/>
        </w:rPr>
        <w:t>支持比例相當（</w:t>
      </w:r>
      <w:r w:rsidRPr="005A3A95">
        <w:rPr>
          <w:rFonts w:ascii="Times New Roman" w:eastAsia="新細明體" w:hAnsi="Times New Roman" w:cs="Times New Roman"/>
        </w:rPr>
        <w:t>39</w:t>
      </w:r>
      <w:r w:rsidRPr="005A3A95">
        <w:rPr>
          <w:rFonts w:ascii="Times New Roman" w:eastAsia="新細明體" w:hAnsi="Times New Roman" w:cs="Times New Roman"/>
        </w:rPr>
        <w:t>對</w:t>
      </w:r>
      <w:r w:rsidRPr="005A3A95">
        <w:rPr>
          <w:rFonts w:ascii="Times New Roman" w:eastAsia="新細明體" w:hAnsi="Times New Roman" w:cs="Times New Roman"/>
        </w:rPr>
        <w:t>42</w:t>
      </w:r>
      <w:r w:rsidRPr="005A3A95">
        <w:rPr>
          <w:rFonts w:ascii="Times New Roman" w:eastAsia="新細明體" w:hAnsi="Times New Roman" w:cs="Times New Roman"/>
        </w:rPr>
        <w:t>），民眾又比較贊成大學生在學生時代去管政治的事（贊成者為百分之四十六，不贊成者為百分之三十五）。值得注意的是，教育程度越高，支持靜坐的愈多，但中層及工人階級在支持與否的比例上接近，而中、上層及下層階級</w:t>
      </w:r>
      <w:proofErr w:type="gramStart"/>
      <w:r w:rsidRPr="005A3A95">
        <w:rPr>
          <w:rFonts w:ascii="Times New Roman" w:eastAsia="新細明體" w:hAnsi="Times New Roman" w:cs="Times New Roman"/>
        </w:rPr>
        <w:t>不</w:t>
      </w:r>
      <w:proofErr w:type="gramEnd"/>
      <w:r w:rsidRPr="005A3A95">
        <w:rPr>
          <w:rFonts w:ascii="Times New Roman" w:eastAsia="新細明體" w:hAnsi="Times New Roman" w:cs="Times New Roman"/>
        </w:rPr>
        <w:t>支持的比較多。同時，教育程度愈高贊成學生管政治，而階級的因素其影響亦如支持靜坐與否的態度。</w:t>
      </w:r>
    </w:p>
    <w:p w14:paraId="5BF180D1" w14:textId="7A6DC4B1" w:rsidR="002D305D" w:rsidRPr="005A3A95" w:rsidRDefault="002D305D" w:rsidP="00A13246">
      <w:pPr>
        <w:pStyle w:val="a7"/>
        <w:numPr>
          <w:ilvl w:val="0"/>
          <w:numId w:val="1"/>
        </w:numPr>
        <w:snapToGrid w:val="0"/>
        <w:ind w:leftChars="0" w:left="567" w:hanging="567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對學運得影響與評估</w:t>
      </w:r>
    </w:p>
    <w:p w14:paraId="601FC5E4" w14:textId="6EF029A4" w:rsidR="009737BD" w:rsidRPr="005A3A95" w:rsidRDefault="009737BD" w:rsidP="009737BD">
      <w:pPr>
        <w:snapToGrid w:val="0"/>
        <w:ind w:firstLineChars="100" w:firstLine="240"/>
        <w:rPr>
          <w:rFonts w:ascii="Times New Roman" w:eastAsiaTheme="majorEastAsia" w:hAnsi="Times New Roman" w:cs="Times New Roman"/>
        </w:rPr>
      </w:pPr>
      <w:r w:rsidRPr="005A3A95">
        <w:rPr>
          <w:rFonts w:ascii="Times New Roman" w:eastAsiaTheme="majorEastAsia" w:hAnsi="Times New Roman" w:cs="Times New Roman"/>
        </w:rPr>
        <w:t>有超過六</w:t>
      </w:r>
      <w:r w:rsidR="00E23A54" w:rsidRPr="005A3A95">
        <w:rPr>
          <w:rFonts w:ascii="Times New Roman" w:eastAsiaTheme="majorEastAsia" w:hAnsi="Times New Roman" w:cs="Times New Roman"/>
        </w:rPr>
        <w:t>成</w:t>
      </w:r>
      <w:r w:rsidRPr="005A3A95">
        <w:rPr>
          <w:rFonts w:ascii="Times New Roman" w:eastAsiaTheme="majorEastAsia" w:hAnsi="Times New Roman" w:cs="Times New Roman"/>
        </w:rPr>
        <w:t>的民眾覺得三月學生靜坐抗議對最近的政治發展有影響，其中大多（</w:t>
      </w:r>
      <w:r w:rsidRPr="005A3A95">
        <w:rPr>
          <w:rFonts w:ascii="Times New Roman" w:eastAsiaTheme="majorEastAsia" w:hAnsi="Times New Roman" w:cs="Times New Roman"/>
        </w:rPr>
        <w:t>57</w:t>
      </w:r>
      <w:proofErr w:type="gramStart"/>
      <w:r w:rsidRPr="005A3A95">
        <w:rPr>
          <w:rFonts w:ascii="Times New Roman" w:eastAsiaTheme="majorEastAsia" w:hAnsi="Times New Roman" w:cs="Times New Roman"/>
        </w:rPr>
        <w:t>℅</w:t>
      </w:r>
      <w:proofErr w:type="gramEnd"/>
      <w:r w:rsidRPr="005A3A95">
        <w:rPr>
          <w:rFonts w:ascii="Times New Roman" w:eastAsiaTheme="majorEastAsia" w:hAnsi="Times New Roman" w:cs="Times New Roman"/>
        </w:rPr>
        <w:t>）覺得有一些影響，認為有很大影響的只有百分之六，相對的覺得沒有影響的約只有一成。教育程度愈高覺得有影響，受高等教育的民眾有八成如此判斷，三月學運的重要性及歷史性大約是可以肯定的。不過民眾學運在政治、經濟、社會上的影響卻也有不同的評估。</w:t>
      </w:r>
    </w:p>
    <w:p w14:paraId="64649DD1" w14:textId="77777777" w:rsidR="009E7FCA" w:rsidRPr="005A3A95" w:rsidRDefault="009E7FCA" w:rsidP="009737BD">
      <w:pPr>
        <w:snapToGrid w:val="0"/>
        <w:ind w:firstLineChars="100" w:firstLine="240"/>
        <w:rPr>
          <w:rFonts w:ascii="Times New Roman" w:eastAsiaTheme="majorEastAsia" w:hAnsi="Times New Roman" w:cs="Times New Roman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748"/>
        <w:gridCol w:w="1380"/>
        <w:gridCol w:w="1508"/>
        <w:gridCol w:w="1657"/>
      </w:tblGrid>
      <w:tr w:rsidR="005A3A95" w:rsidRPr="005A3A95" w14:paraId="726AEBBA" w14:textId="25F3FB83" w:rsidTr="009E7FCA">
        <w:trPr>
          <w:trHeight w:val="278"/>
        </w:trPr>
        <w:tc>
          <w:tcPr>
            <w:tcW w:w="1230" w:type="dxa"/>
          </w:tcPr>
          <w:p w14:paraId="7D8F02CA" w14:textId="77777777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48" w:type="dxa"/>
          </w:tcPr>
          <w:p w14:paraId="47D05225" w14:textId="489E79F1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影響好</w:t>
            </w:r>
          </w:p>
        </w:tc>
        <w:tc>
          <w:tcPr>
            <w:tcW w:w="1380" w:type="dxa"/>
          </w:tcPr>
          <w:p w14:paraId="1175C024" w14:textId="0453F654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影響壞</w:t>
            </w:r>
          </w:p>
        </w:tc>
        <w:tc>
          <w:tcPr>
            <w:tcW w:w="1508" w:type="dxa"/>
          </w:tcPr>
          <w:p w14:paraId="1314E426" w14:textId="65B8CD69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不一定</w:t>
            </w:r>
          </w:p>
        </w:tc>
        <w:tc>
          <w:tcPr>
            <w:tcW w:w="1657" w:type="dxa"/>
          </w:tcPr>
          <w:p w14:paraId="1C0495FA" w14:textId="70DF4462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不知道</w:t>
            </w:r>
          </w:p>
        </w:tc>
      </w:tr>
      <w:tr w:rsidR="005A3A95" w:rsidRPr="005A3A95" w14:paraId="6F3DE820" w14:textId="77777777" w:rsidTr="009E7FCA">
        <w:trPr>
          <w:trHeight w:val="278"/>
        </w:trPr>
        <w:tc>
          <w:tcPr>
            <w:tcW w:w="1230" w:type="dxa"/>
          </w:tcPr>
          <w:p w14:paraId="31D99D0A" w14:textId="0BA7BF86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政治</w:t>
            </w:r>
          </w:p>
        </w:tc>
        <w:tc>
          <w:tcPr>
            <w:tcW w:w="1748" w:type="dxa"/>
          </w:tcPr>
          <w:p w14:paraId="046A5297" w14:textId="3A8FE046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43℅</w:t>
            </w:r>
          </w:p>
        </w:tc>
        <w:tc>
          <w:tcPr>
            <w:tcW w:w="1380" w:type="dxa"/>
          </w:tcPr>
          <w:p w14:paraId="7DEF290B" w14:textId="468E302A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17℅</w:t>
            </w:r>
          </w:p>
        </w:tc>
        <w:tc>
          <w:tcPr>
            <w:tcW w:w="1508" w:type="dxa"/>
          </w:tcPr>
          <w:p w14:paraId="5B06820E" w14:textId="1191ADEB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30℅</w:t>
            </w:r>
          </w:p>
        </w:tc>
        <w:tc>
          <w:tcPr>
            <w:tcW w:w="1657" w:type="dxa"/>
          </w:tcPr>
          <w:p w14:paraId="23B8450E" w14:textId="6C97AB3A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11℅</w:t>
            </w:r>
          </w:p>
        </w:tc>
      </w:tr>
      <w:tr w:rsidR="005A3A95" w:rsidRPr="005A3A95" w14:paraId="45481958" w14:textId="77777777" w:rsidTr="009E7FCA">
        <w:trPr>
          <w:trHeight w:val="278"/>
        </w:trPr>
        <w:tc>
          <w:tcPr>
            <w:tcW w:w="1230" w:type="dxa"/>
          </w:tcPr>
          <w:p w14:paraId="1DC46CDF" w14:textId="0F5BCF3D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經濟</w:t>
            </w:r>
          </w:p>
        </w:tc>
        <w:tc>
          <w:tcPr>
            <w:tcW w:w="1748" w:type="dxa"/>
          </w:tcPr>
          <w:p w14:paraId="13916E7F" w14:textId="2A698349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11℅</w:t>
            </w:r>
          </w:p>
        </w:tc>
        <w:tc>
          <w:tcPr>
            <w:tcW w:w="1380" w:type="dxa"/>
          </w:tcPr>
          <w:p w14:paraId="4D48BC8D" w14:textId="57DA9505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35℅</w:t>
            </w:r>
          </w:p>
        </w:tc>
        <w:tc>
          <w:tcPr>
            <w:tcW w:w="1508" w:type="dxa"/>
          </w:tcPr>
          <w:p w14:paraId="7A7652D2" w14:textId="1CC9D1F0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36℅</w:t>
            </w:r>
          </w:p>
        </w:tc>
        <w:tc>
          <w:tcPr>
            <w:tcW w:w="1657" w:type="dxa"/>
          </w:tcPr>
          <w:p w14:paraId="28544E2F" w14:textId="0B057CF6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18℅</w:t>
            </w:r>
          </w:p>
        </w:tc>
      </w:tr>
      <w:tr w:rsidR="009E7FCA" w:rsidRPr="005A3A95" w14:paraId="4C7F0F9A" w14:textId="77777777" w:rsidTr="009E7FCA">
        <w:trPr>
          <w:trHeight w:val="278"/>
        </w:trPr>
        <w:tc>
          <w:tcPr>
            <w:tcW w:w="1230" w:type="dxa"/>
          </w:tcPr>
          <w:p w14:paraId="6CBB4D9B" w14:textId="6DED77D8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社會</w:t>
            </w:r>
          </w:p>
        </w:tc>
        <w:tc>
          <w:tcPr>
            <w:tcW w:w="1748" w:type="dxa"/>
          </w:tcPr>
          <w:p w14:paraId="689D20C7" w14:textId="3FEBBA6F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23℅</w:t>
            </w:r>
          </w:p>
        </w:tc>
        <w:tc>
          <w:tcPr>
            <w:tcW w:w="1380" w:type="dxa"/>
          </w:tcPr>
          <w:p w14:paraId="6EFF5AAA" w14:textId="7793D1E1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36℅</w:t>
            </w:r>
          </w:p>
        </w:tc>
        <w:tc>
          <w:tcPr>
            <w:tcW w:w="1508" w:type="dxa"/>
          </w:tcPr>
          <w:p w14:paraId="55462CEF" w14:textId="05879532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29℅</w:t>
            </w:r>
          </w:p>
        </w:tc>
        <w:tc>
          <w:tcPr>
            <w:tcW w:w="1657" w:type="dxa"/>
          </w:tcPr>
          <w:p w14:paraId="0036AC5D" w14:textId="3D734AB3" w:rsidR="009E7FCA" w:rsidRPr="005A3A95" w:rsidRDefault="009E7FCA" w:rsidP="009E7FCA">
            <w:pPr>
              <w:snapToGrid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5A3A95">
              <w:rPr>
                <w:rFonts w:ascii="Times New Roman" w:eastAsiaTheme="majorEastAsia" w:hAnsi="Times New Roman" w:cs="Times New Roman"/>
              </w:rPr>
              <w:t>12℅</w:t>
            </w:r>
          </w:p>
        </w:tc>
      </w:tr>
    </w:tbl>
    <w:p w14:paraId="4357CB2F" w14:textId="77777777" w:rsidR="009E7FCA" w:rsidRPr="005A3A95" w:rsidRDefault="009E7FCA" w:rsidP="009E7FCA">
      <w:pPr>
        <w:snapToGrid w:val="0"/>
        <w:rPr>
          <w:rFonts w:ascii="Times New Roman" w:eastAsiaTheme="majorEastAsia" w:hAnsi="Times New Roman" w:cs="Times New Roman"/>
        </w:rPr>
      </w:pPr>
    </w:p>
    <w:p w14:paraId="79B1A94D" w14:textId="720563BE" w:rsidR="009737BD" w:rsidRPr="005A3A95" w:rsidRDefault="009737BD" w:rsidP="009737BD">
      <w:pPr>
        <w:snapToGrid w:val="0"/>
        <w:ind w:firstLineChars="100" w:firstLine="240"/>
        <w:rPr>
          <w:rFonts w:ascii="Times New Roman" w:eastAsiaTheme="majorEastAsia" w:hAnsi="Times New Roman" w:cs="Times New Roman"/>
        </w:rPr>
      </w:pPr>
      <w:r w:rsidRPr="005A3A95">
        <w:rPr>
          <w:rFonts w:ascii="Times New Roman" w:eastAsiaTheme="majorEastAsia" w:hAnsi="Times New Roman" w:cs="Times New Roman"/>
        </w:rPr>
        <w:t>綜合而論，民眾在政治上肯定學運，但卻認為學運對經濟和社會有壞影響，尤其是經濟。這種</w:t>
      </w:r>
      <w:r w:rsidRPr="005A3A95">
        <w:rPr>
          <w:rFonts w:ascii="Times New Roman" w:eastAsia="新細明體" w:hAnsi="Times New Roman" w:cs="Times New Roman"/>
        </w:rPr>
        <w:t>「矛盾」顯示政治問題若不妥善解決，抗議乃是導正的力量來源，也顯示政治沒有真正的安定和民主將是社會經濟不安的因子。在</w:t>
      </w:r>
      <w:proofErr w:type="gramStart"/>
      <w:r w:rsidRPr="005A3A95">
        <w:rPr>
          <w:rFonts w:ascii="Times New Roman" w:eastAsia="新細明體" w:hAnsi="Times New Roman" w:cs="Times New Roman"/>
        </w:rPr>
        <w:t>其間，</w:t>
      </w:r>
      <w:proofErr w:type="gramEnd"/>
      <w:r w:rsidRPr="005A3A95">
        <w:rPr>
          <w:rFonts w:ascii="Times New Roman" w:eastAsia="新細明體" w:hAnsi="Times New Roman" w:cs="Times New Roman"/>
        </w:rPr>
        <w:t>教育的影響對政治方面較單純，教育程度愈高愈認為有好的影響，但對經濟影響的評估在好的方面有明顯趨勢，對社會則在好的影響</w:t>
      </w:r>
      <w:r w:rsidRPr="005A3A95">
        <w:rPr>
          <w:rFonts w:ascii="Times New Roman" w:eastAsia="新細明體" w:hAnsi="Times New Roman" w:cs="Times New Roman"/>
        </w:rPr>
        <w:lastRenderedPageBreak/>
        <w:t>方面是循教育的增加而增加，但在壞的影響上卻不甚規則，教育程度最高的認為壞的影響也是最高的。</w:t>
      </w:r>
    </w:p>
    <w:p w14:paraId="4D2C93D9" w14:textId="5B66B193" w:rsidR="002D305D" w:rsidRPr="005A3A95" w:rsidRDefault="009737BD" w:rsidP="00A13246">
      <w:pPr>
        <w:pStyle w:val="a7"/>
        <w:numPr>
          <w:ilvl w:val="0"/>
          <w:numId w:val="1"/>
        </w:numPr>
        <w:snapToGrid w:val="0"/>
        <w:ind w:leftChars="0" w:left="567" w:hanging="567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對學運的預測與期望</w:t>
      </w:r>
    </w:p>
    <w:p w14:paraId="0DB731D7" w14:textId="6AF95834" w:rsidR="009737BD" w:rsidRPr="005A3A95" w:rsidRDefault="009737BD" w:rsidP="009737BD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在高達四分之二的民眾認為以後還有可能會有這樣的學生靜坐，認為可能性低者只有百分之九。這種預測在五月中就應驗了，學</w:t>
      </w:r>
      <w:r w:rsidR="00B829C9" w:rsidRPr="005A3A95">
        <w:rPr>
          <w:rFonts w:ascii="Times New Roman" w:eastAsia="新細明體" w:hAnsi="Times New Roman" w:cs="Times New Roman"/>
        </w:rPr>
        <w:t>生</w:t>
      </w:r>
      <w:r w:rsidRPr="005A3A95">
        <w:rPr>
          <w:rFonts w:ascii="Times New Roman" w:eastAsia="新細明體" w:hAnsi="Times New Roman" w:cs="Times New Roman"/>
        </w:rPr>
        <w:t>採取靜坐抗議軍人組閣。往後政治問題的解決若不順利，學生可能就會抗議，民眾作此預測應是受政治問題</w:t>
      </w:r>
      <w:r w:rsidR="005C22D1" w:rsidRPr="005A3A95">
        <w:rPr>
          <w:rFonts w:ascii="Times New Roman" w:eastAsia="新細明體" w:hAnsi="Times New Roman" w:cs="Times New Roman"/>
        </w:rPr>
        <w:t>懸</w:t>
      </w:r>
      <w:proofErr w:type="gramStart"/>
      <w:r w:rsidR="005C22D1" w:rsidRPr="005A3A95">
        <w:rPr>
          <w:rFonts w:ascii="Times New Roman" w:eastAsia="新細明體" w:hAnsi="Times New Roman" w:cs="Times New Roman"/>
        </w:rPr>
        <w:t>宕</w:t>
      </w:r>
      <w:proofErr w:type="gramEnd"/>
      <w:r w:rsidR="005C22D1" w:rsidRPr="005A3A95">
        <w:rPr>
          <w:rFonts w:ascii="Times New Roman" w:eastAsia="新細明體" w:hAnsi="Times New Roman" w:cs="Times New Roman"/>
        </w:rPr>
        <w:t>未決的影響。</w:t>
      </w:r>
    </w:p>
    <w:p w14:paraId="236170A4" w14:textId="596737A8" w:rsidR="005C22D1" w:rsidRPr="005A3A95" w:rsidRDefault="005C22D1" w:rsidP="009737BD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雖然民眾預測還</w:t>
      </w:r>
      <w:r w:rsidR="00811631" w:rsidRPr="005A3A95">
        <w:rPr>
          <w:rFonts w:ascii="Times New Roman" w:eastAsia="新細明體" w:hAnsi="Times New Roman" w:cs="Times New Roman"/>
        </w:rPr>
        <w:t>會</w:t>
      </w:r>
      <w:r w:rsidRPr="005A3A95">
        <w:rPr>
          <w:rFonts w:ascii="Times New Roman" w:eastAsia="新細明體" w:hAnsi="Times New Roman" w:cs="Times New Roman"/>
        </w:rPr>
        <w:t>有學生靜坐抗議的事，但是並不見得他們就會支持。因為許多人心中有疑慮。在推測三月</w:t>
      </w:r>
      <w:proofErr w:type="gramStart"/>
      <w:r w:rsidRPr="005A3A95">
        <w:rPr>
          <w:rFonts w:ascii="Times New Roman" w:eastAsia="新細明體" w:hAnsi="Times New Roman" w:cs="Times New Roman"/>
        </w:rPr>
        <w:t>學運若</w:t>
      </w:r>
      <w:r w:rsidR="00517665" w:rsidRPr="005A3A95">
        <w:rPr>
          <w:rFonts w:ascii="Times New Roman" w:eastAsia="新細明體" w:hAnsi="Times New Roman" w:cs="Times New Roman"/>
        </w:rPr>
        <w:t>多</w:t>
      </w:r>
      <w:proofErr w:type="gramEnd"/>
      <w:r w:rsidRPr="005A3A95">
        <w:rPr>
          <w:rFonts w:ascii="Times New Roman" w:eastAsia="新細明體" w:hAnsi="Times New Roman" w:cs="Times New Roman"/>
        </w:rPr>
        <w:t>延幾天會不會發生不幸的事件時，有六成的民眾認為有可能，僅兩成認為不可能。</w:t>
      </w:r>
      <w:proofErr w:type="gramStart"/>
      <w:r w:rsidRPr="005A3A95">
        <w:rPr>
          <w:rFonts w:ascii="Times New Roman" w:eastAsia="新細明體" w:hAnsi="Times New Roman" w:cs="Times New Roman"/>
        </w:rPr>
        <w:t>其間，</w:t>
      </w:r>
      <w:proofErr w:type="gramEnd"/>
      <w:r w:rsidRPr="005A3A95">
        <w:rPr>
          <w:rFonts w:ascii="Times New Roman" w:eastAsia="新細明體" w:hAnsi="Times New Roman" w:cs="Times New Roman"/>
        </w:rPr>
        <w:t>教育程度愈高，就愈有此疑慮，這大致和要求安定的期望有關，他們一方面比較支持學運，但另一方面卻更擔心會出事情。階級高的也有此傾向，雖然他們比較</w:t>
      </w:r>
      <w:proofErr w:type="gramStart"/>
      <w:r w:rsidRPr="005A3A95">
        <w:rPr>
          <w:rFonts w:ascii="Times New Roman" w:eastAsia="新細明體" w:hAnsi="Times New Roman" w:cs="Times New Roman"/>
        </w:rPr>
        <w:t>不</w:t>
      </w:r>
      <w:proofErr w:type="gramEnd"/>
      <w:r w:rsidRPr="005A3A95">
        <w:rPr>
          <w:rFonts w:ascii="Times New Roman" w:eastAsia="新細明體" w:hAnsi="Times New Roman" w:cs="Times New Roman"/>
        </w:rPr>
        <w:t>支持學運。</w:t>
      </w:r>
    </w:p>
    <w:p w14:paraId="4638D9F4" w14:textId="40197904" w:rsidR="005C22D1" w:rsidRPr="005A3A95" w:rsidRDefault="002A14D7" w:rsidP="009737BD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在手段上，絕大多數人都不贊成激烈的方式，有百分之八十五認為抗議「不要激烈比較好」或「應完全避免採取激烈的方式」，僅有百分之四認為應</w:t>
      </w:r>
      <w:r w:rsidR="00C34099" w:rsidRPr="005A3A95">
        <w:rPr>
          <w:rFonts w:ascii="Times New Roman" w:eastAsia="新細明體" w:hAnsi="Times New Roman" w:cs="Times New Roman"/>
        </w:rPr>
        <w:t>再</w:t>
      </w:r>
      <w:r w:rsidRPr="005A3A95">
        <w:rPr>
          <w:rFonts w:ascii="Times New Roman" w:eastAsia="新細明體" w:hAnsi="Times New Roman" w:cs="Times New Roman"/>
        </w:rPr>
        <w:t>激烈。台灣的民眾在長期戒嚴體制及更經久的戒嚴心態下，對激烈的運動有激烈的</w:t>
      </w:r>
      <w:proofErr w:type="gramStart"/>
      <w:r w:rsidRPr="005A3A95">
        <w:rPr>
          <w:rFonts w:ascii="Times New Roman" w:eastAsia="新細明體" w:hAnsi="Times New Roman" w:cs="Times New Roman"/>
        </w:rPr>
        <w:t>的</w:t>
      </w:r>
      <w:proofErr w:type="gramEnd"/>
      <w:r w:rsidRPr="005A3A95">
        <w:rPr>
          <w:rFonts w:ascii="Times New Roman" w:eastAsia="新細明體" w:hAnsi="Times New Roman" w:cs="Times New Roman"/>
        </w:rPr>
        <w:t>反應，這當然也和傳播媒體的長期「教化」有關。教育程度愈高的愈不喜激烈的抗議，這種趨勢顯示了媒體的壓力與影響力，另一方也顯示教育所</w:t>
      </w:r>
      <w:proofErr w:type="gramStart"/>
      <w:r w:rsidRPr="005A3A95">
        <w:rPr>
          <w:rFonts w:ascii="Times New Roman" w:eastAsia="新細明體" w:hAnsi="Times New Roman" w:cs="Times New Roman"/>
        </w:rPr>
        <w:t>蘊</w:t>
      </w:r>
      <w:proofErr w:type="gramEnd"/>
      <w:r w:rsidRPr="005A3A95">
        <w:rPr>
          <w:rFonts w:ascii="Times New Roman" w:eastAsia="新細明體" w:hAnsi="Times New Roman" w:cs="Times New Roman"/>
        </w:rPr>
        <w:t>成的溫和理性取向。</w:t>
      </w:r>
    </w:p>
    <w:p w14:paraId="4D0C9620" w14:textId="462D857C" w:rsidR="009737BD" w:rsidRPr="005A3A95" w:rsidRDefault="009737BD" w:rsidP="00A13246">
      <w:pPr>
        <w:pStyle w:val="a7"/>
        <w:numPr>
          <w:ilvl w:val="0"/>
          <w:numId w:val="1"/>
        </w:numPr>
        <w:snapToGrid w:val="0"/>
        <w:ind w:leftChars="0" w:left="567" w:hanging="567"/>
        <w:rPr>
          <w:rFonts w:ascii="Times New Roman" w:eastAsia="新細明體" w:hAnsi="Times New Roman" w:cs="Times New Roman"/>
          <w:b/>
          <w:bCs/>
        </w:rPr>
      </w:pPr>
      <w:r w:rsidRPr="005A3A95">
        <w:rPr>
          <w:rFonts w:ascii="Times New Roman" w:eastAsia="新細明體" w:hAnsi="Times New Roman" w:cs="Times New Roman"/>
          <w:b/>
          <w:bCs/>
        </w:rPr>
        <w:t>小結</w:t>
      </w:r>
    </w:p>
    <w:p w14:paraId="4D419D81" w14:textId="1EB58F57" w:rsidR="00A13246" w:rsidRPr="005A3A95" w:rsidRDefault="002A14D7" w:rsidP="002A14D7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民眾對三月學運基本上是支持的，但也有安定上的顧慮。民眾尤其肯定學運在政治上的良性影響。</w:t>
      </w:r>
      <w:r w:rsidR="00A074ED" w:rsidRPr="005A3A95">
        <w:rPr>
          <w:rFonts w:ascii="Times New Roman" w:eastAsia="新細明體" w:hAnsi="Times New Roman" w:cs="Times New Roman"/>
        </w:rPr>
        <w:t>却也擔心社會經濟造成的不利影響。</w:t>
      </w:r>
      <w:r w:rsidRPr="005A3A95">
        <w:rPr>
          <w:rFonts w:ascii="Times New Roman" w:eastAsia="新細明體" w:hAnsi="Times New Roman" w:cs="Times New Roman"/>
        </w:rPr>
        <w:t>在民主政治未上正軌前，民眾認為學運</w:t>
      </w:r>
      <w:r w:rsidR="001F1E0D" w:rsidRPr="005A3A95">
        <w:rPr>
          <w:rFonts w:ascii="Times New Roman" w:eastAsia="新細明體" w:hAnsi="Times New Roman" w:cs="Times New Roman"/>
        </w:rPr>
        <w:t>再</w:t>
      </w:r>
      <w:r w:rsidRPr="005A3A95">
        <w:rPr>
          <w:rFonts w:ascii="Times New Roman" w:eastAsia="新細明體" w:hAnsi="Times New Roman" w:cs="Times New Roman"/>
        </w:rPr>
        <w:t>起的可能性很高，根據本研究兩次調查有關政治部份，發現民眾期望在上升，而對政治部門信任程度低，尤其是國會及大法官</w:t>
      </w:r>
      <w:proofErr w:type="gramStart"/>
      <w:r w:rsidRPr="005A3A95">
        <w:rPr>
          <w:rFonts w:ascii="Times New Roman" w:eastAsia="新細明體" w:hAnsi="Times New Roman" w:cs="Times New Roman"/>
        </w:rPr>
        <w:t>均在百分之卅</w:t>
      </w:r>
      <w:proofErr w:type="gramEnd"/>
      <w:r w:rsidRPr="005A3A95">
        <w:rPr>
          <w:rFonts w:ascii="Times New Roman" w:eastAsia="新細明體" w:hAnsi="Times New Roman" w:cs="Times New Roman"/>
        </w:rPr>
        <w:t>左右，而行政院亦僅及百分之五十，這種狀況容易引起</w:t>
      </w:r>
      <w:r w:rsidR="00B92E6A" w:rsidRPr="005A3A95">
        <w:rPr>
          <w:rFonts w:ascii="Times New Roman" w:eastAsia="新細明體" w:hAnsi="Times New Roman" w:cs="Times New Roman"/>
        </w:rPr>
        <w:t>民眾及學生</w:t>
      </w:r>
      <w:proofErr w:type="gramStart"/>
      <w:r w:rsidR="00B92E6A" w:rsidRPr="005A3A95">
        <w:rPr>
          <w:rFonts w:ascii="Times New Roman" w:eastAsia="新細明體" w:hAnsi="Times New Roman" w:cs="Times New Roman"/>
        </w:rPr>
        <w:t>不滿</w:t>
      </w:r>
      <w:proofErr w:type="gramEnd"/>
      <w:r w:rsidR="00B92E6A" w:rsidRPr="005A3A95">
        <w:rPr>
          <w:rFonts w:ascii="Times New Roman" w:eastAsia="新細明體" w:hAnsi="Times New Roman" w:cs="Times New Roman"/>
        </w:rPr>
        <w:t>，而可能導致抗議甚抗爭。在觀諸近</w:t>
      </w:r>
      <w:r w:rsidR="001B7726" w:rsidRPr="005A3A95">
        <w:rPr>
          <w:rFonts w:ascii="Times New Roman" w:eastAsia="新細明體" w:hAnsi="Times New Roman" w:cs="Times New Roman"/>
        </w:rPr>
        <w:t>半年</w:t>
      </w:r>
      <w:r w:rsidRPr="005A3A95">
        <w:rPr>
          <w:rFonts w:ascii="Times New Roman" w:eastAsia="新細明體" w:hAnsi="Times New Roman" w:cs="Times New Roman"/>
        </w:rPr>
        <w:t>政治不安乃來自政治權力的競逐，政</w:t>
      </w:r>
      <w:r w:rsidR="001B7726" w:rsidRPr="005A3A95">
        <w:rPr>
          <w:rFonts w:ascii="Times New Roman" w:eastAsia="新細明體" w:hAnsi="Times New Roman" w:cs="Times New Roman"/>
        </w:rPr>
        <w:t>府</w:t>
      </w:r>
      <w:r w:rsidRPr="005A3A95">
        <w:rPr>
          <w:rFonts w:ascii="Times New Roman" w:eastAsia="新細明體" w:hAnsi="Times New Roman" w:cs="Times New Roman"/>
        </w:rPr>
        <w:t>高官以及執政黨</w:t>
      </w:r>
      <w:proofErr w:type="gramStart"/>
      <w:r w:rsidRPr="005A3A95">
        <w:rPr>
          <w:rFonts w:ascii="Times New Roman" w:eastAsia="新細明體" w:hAnsi="Times New Roman" w:cs="Times New Roman"/>
        </w:rPr>
        <w:t>中央均應有</w:t>
      </w:r>
      <w:proofErr w:type="gramEnd"/>
      <w:r w:rsidRPr="005A3A95">
        <w:rPr>
          <w:rFonts w:ascii="Times New Roman" w:eastAsia="新細明體" w:hAnsi="Times New Roman" w:cs="Times New Roman"/>
        </w:rPr>
        <w:t>深切的真正的國家觀念和民主胸懷，以減輕或消除民眾可能的不滿。學運的發展與民眾支持程度和社會政治改革情勢都有密切關聯，學運應是大家關心的課題，而學生如何有效發揮力量則更有賴於學生智慧的抉擇。</w:t>
      </w:r>
    </w:p>
    <w:p w14:paraId="688DC7B8" w14:textId="74954DE9" w:rsidR="002A14D7" w:rsidRPr="005A3A95" w:rsidRDefault="002A14D7" w:rsidP="002A14D7">
      <w:pPr>
        <w:snapToGrid w:val="0"/>
        <w:ind w:firstLineChars="100" w:firstLine="240"/>
        <w:rPr>
          <w:rFonts w:ascii="Times New Roman" w:eastAsia="新細明體" w:hAnsi="Times New Roman" w:cs="Times New Roman"/>
        </w:rPr>
      </w:pPr>
      <w:r w:rsidRPr="005A3A95">
        <w:rPr>
          <w:rFonts w:ascii="Times New Roman" w:eastAsia="新細明體" w:hAnsi="Times New Roman" w:cs="Times New Roman"/>
        </w:rPr>
        <w:t>針對這次國是會議，全學聯因值暑假</w:t>
      </w:r>
      <w:proofErr w:type="gramStart"/>
      <w:r w:rsidRPr="005A3A95">
        <w:rPr>
          <w:rFonts w:ascii="Times New Roman" w:eastAsia="新細明體" w:hAnsi="Times New Roman" w:cs="Times New Roman"/>
        </w:rPr>
        <w:t>期間，</w:t>
      </w:r>
      <w:proofErr w:type="gramEnd"/>
      <w:r w:rsidRPr="005A3A95">
        <w:rPr>
          <w:rFonts w:ascii="Times New Roman" w:eastAsia="新細明體" w:hAnsi="Times New Roman" w:cs="Times New Roman"/>
        </w:rPr>
        <w:t>要發動大規模的抗議行動可能性不大，但國是會議照這樣開下去，政治上雖會有改革，然而其消極保守的基本特性，終將使情況惡化，學運將再起而為民主前途抗爭。不過，學運學生當時堅持要監督國是會議，到目前為止卻又無力「監督」，可能就是國民黨高層輕忽學運學生的政治現實考慮。學生們能不深</w:t>
      </w:r>
      <w:proofErr w:type="gramStart"/>
      <w:r w:rsidRPr="005A3A95">
        <w:rPr>
          <w:rFonts w:ascii="Times New Roman" w:eastAsia="新細明體" w:hAnsi="Times New Roman" w:cs="Times New Roman"/>
        </w:rPr>
        <w:t>反省乎</w:t>
      </w:r>
      <w:proofErr w:type="gramEnd"/>
      <w:r w:rsidRPr="005A3A95">
        <w:rPr>
          <w:rFonts w:ascii="Times New Roman" w:eastAsia="新細明體" w:hAnsi="Times New Roman" w:cs="Times New Roman"/>
        </w:rPr>
        <w:t>？（作者現為中研院研究員）</w:t>
      </w:r>
    </w:p>
    <w:sectPr w:rsidR="002A14D7" w:rsidRPr="005A3A95" w:rsidSect="004D5F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7C2F" w14:textId="77777777" w:rsidR="0043498A" w:rsidRDefault="0043498A" w:rsidP="00D07C98">
      <w:r>
        <w:separator/>
      </w:r>
    </w:p>
  </w:endnote>
  <w:endnote w:type="continuationSeparator" w:id="0">
    <w:p w14:paraId="0FAAC2E8" w14:textId="77777777" w:rsidR="0043498A" w:rsidRDefault="0043498A" w:rsidP="00D0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FB52" w14:textId="77777777" w:rsidR="0043498A" w:rsidRDefault="0043498A" w:rsidP="00D07C98">
      <w:r>
        <w:separator/>
      </w:r>
    </w:p>
  </w:footnote>
  <w:footnote w:type="continuationSeparator" w:id="0">
    <w:p w14:paraId="1D4873D1" w14:textId="77777777" w:rsidR="0043498A" w:rsidRDefault="0043498A" w:rsidP="00D0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478F3"/>
    <w:multiLevelType w:val="hybridMultilevel"/>
    <w:tmpl w:val="9262373A"/>
    <w:lvl w:ilvl="0" w:tplc="34DE73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F97"/>
    <w:rsid w:val="00046CE2"/>
    <w:rsid w:val="000A545F"/>
    <w:rsid w:val="001B7726"/>
    <w:rsid w:val="001F1E0D"/>
    <w:rsid w:val="002A14D7"/>
    <w:rsid w:val="002D305D"/>
    <w:rsid w:val="002F2AA3"/>
    <w:rsid w:val="003C4641"/>
    <w:rsid w:val="003C749A"/>
    <w:rsid w:val="0043498A"/>
    <w:rsid w:val="004D5F97"/>
    <w:rsid w:val="00517665"/>
    <w:rsid w:val="00572B99"/>
    <w:rsid w:val="005A3A95"/>
    <w:rsid w:val="005C22D1"/>
    <w:rsid w:val="00767176"/>
    <w:rsid w:val="00773923"/>
    <w:rsid w:val="00811631"/>
    <w:rsid w:val="008A62F8"/>
    <w:rsid w:val="009737BD"/>
    <w:rsid w:val="009E7FCA"/>
    <w:rsid w:val="00A074ED"/>
    <w:rsid w:val="00A13246"/>
    <w:rsid w:val="00AC1AA3"/>
    <w:rsid w:val="00B17A46"/>
    <w:rsid w:val="00B829C9"/>
    <w:rsid w:val="00B92E6A"/>
    <w:rsid w:val="00C017BD"/>
    <w:rsid w:val="00C34099"/>
    <w:rsid w:val="00C524D0"/>
    <w:rsid w:val="00CC7CFE"/>
    <w:rsid w:val="00D07C98"/>
    <w:rsid w:val="00E23A54"/>
    <w:rsid w:val="00E829BC"/>
    <w:rsid w:val="00E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A46A0"/>
  <w15:docId w15:val="{FEFD238F-8136-4302-87DA-AE32E143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C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C98"/>
    <w:rPr>
      <w:sz w:val="20"/>
      <w:szCs w:val="20"/>
    </w:rPr>
  </w:style>
  <w:style w:type="paragraph" w:styleId="a7">
    <w:name w:val="List Paragraph"/>
    <w:basedOn w:val="a"/>
    <w:uiPriority w:val="34"/>
    <w:qFormat/>
    <w:rsid w:val="00A13246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D30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305D"/>
  </w:style>
  <w:style w:type="character" w:customStyle="1" w:styleId="aa">
    <w:name w:val="註解文字 字元"/>
    <w:basedOn w:val="a0"/>
    <w:link w:val="a9"/>
    <w:uiPriority w:val="99"/>
    <w:semiHidden/>
    <w:rsid w:val="002D30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305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D3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Sheng-Fen</dc:creator>
  <cp:keywords/>
  <dc:description/>
  <cp:lastModifiedBy>chy</cp:lastModifiedBy>
  <cp:revision>24</cp:revision>
  <dcterms:created xsi:type="dcterms:W3CDTF">2023-02-21T06:31:00Z</dcterms:created>
  <dcterms:modified xsi:type="dcterms:W3CDTF">2023-04-20T09:54:00Z</dcterms:modified>
</cp:coreProperties>
</file>